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《</w:t>
      </w:r>
      <w:r>
        <w:rPr>
          <w:rFonts w:hint="eastAsia" w:ascii="黑体" w:eastAsia="黑体"/>
          <w:b/>
          <w:sz w:val="32"/>
          <w:szCs w:val="32"/>
        </w:rPr>
        <w:t>青岛理工大学</w:t>
      </w:r>
      <w:r>
        <w:rPr>
          <w:rFonts w:hint="eastAsia" w:ascii="黑体" w:hAnsi="Calibri" w:eastAsia="黑体" w:cs="Times New Roman"/>
          <w:b/>
          <w:sz w:val="32"/>
          <w:szCs w:val="32"/>
        </w:rPr>
        <w:t>年鉴</w:t>
      </w:r>
      <w:r>
        <w:rPr>
          <w:rFonts w:hint="eastAsia" w:ascii="黑体" w:eastAsia="黑体"/>
          <w:b/>
          <w:sz w:val="32"/>
          <w:szCs w:val="32"/>
        </w:rPr>
        <w:t>2014</w:t>
      </w:r>
      <w:r>
        <w:rPr>
          <w:rFonts w:hint="eastAsia" w:ascii="黑体" w:hAnsi="Calibri" w:eastAsia="黑体" w:cs="Times New Roman"/>
          <w:b/>
          <w:sz w:val="32"/>
          <w:szCs w:val="32"/>
        </w:rPr>
        <w:t>》编写规范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黑体" w:hAnsi="Calibri" w:eastAsia="黑体" w:cs="Times New Roman"/>
          <w:b/>
          <w:sz w:val="28"/>
          <w:szCs w:val="28"/>
        </w:rPr>
        <w:t xml:space="preserve">   一、选材内容和时限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</w:t>
      </w:r>
      <w:r>
        <w:rPr>
          <w:rFonts w:hint="eastAsia" w:ascii="仿宋_GB2312" w:hAnsi="Calibri" w:eastAsia="仿宋_GB2312" w:cs="Times New Roman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青岛理工大学年鉴2014</w:t>
      </w:r>
      <w:r>
        <w:rPr>
          <w:rFonts w:hint="eastAsia" w:ascii="仿宋_GB2312" w:hAnsi="Calibri" w:eastAsia="仿宋_GB2312" w:cs="Times New Roman"/>
          <w:sz w:val="28"/>
          <w:szCs w:val="28"/>
        </w:rPr>
        <w:t>》（以下简称《年鉴》）是全面收录反映学校201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hAnsi="Calibri" w:eastAsia="仿宋_GB2312" w:cs="Times New Roman"/>
          <w:sz w:val="28"/>
          <w:szCs w:val="28"/>
        </w:rPr>
        <w:t>年各方面工作状况的资料性工具书，包括学校改革、建设和发展过程中的重要事件、重大活动、重要任务和基本数据等。所记述资料时间为201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hAnsi="Calibri" w:eastAsia="仿宋_GB2312" w:cs="Times New Roman"/>
          <w:sz w:val="28"/>
          <w:szCs w:val="28"/>
        </w:rPr>
        <w:t>年1月1日至12月31日（记述某事件时必须追述过去情况的除外）。</w:t>
      </w:r>
    </w:p>
    <w:p>
      <w:pPr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</w:t>
      </w:r>
      <w:r>
        <w:rPr>
          <w:rFonts w:hint="eastAsia" w:ascii="黑体" w:hAnsi="Calibri" w:eastAsia="黑体" w:cs="Times New Roman"/>
          <w:b/>
          <w:sz w:val="28"/>
          <w:szCs w:val="28"/>
        </w:rPr>
        <w:t>二、编写方式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1.“工作概述”部分（即《年鉴》“正文”部分）的编写主要采用综述、条目和附件相结合的方式，请各单位对照《任务分解表》的要求提供相关材料。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（1）综述（工作概况）要求。综述内容包括各单位的基本情况介绍和年度工作情况总结。应当按照“</w:t>
      </w:r>
      <w:r>
        <w:rPr>
          <w:rFonts w:hint="eastAsia" w:ascii="仿宋_GB2312" w:eastAsia="仿宋_GB2312"/>
          <w:sz w:val="28"/>
          <w:szCs w:val="28"/>
        </w:rPr>
        <w:t>高度概括</w:t>
      </w:r>
      <w:r>
        <w:rPr>
          <w:rFonts w:hint="eastAsia" w:ascii="仿宋_GB2312" w:hAnsi="Calibri" w:eastAsia="仿宋_GB2312" w:cs="Times New Roman"/>
          <w:sz w:val="28"/>
          <w:szCs w:val="28"/>
        </w:rPr>
        <w:t>，前后统一”的原则，</w:t>
      </w:r>
      <w:r>
        <w:rPr>
          <w:rFonts w:hint="eastAsia" w:ascii="仿宋_GB2312" w:eastAsia="仿宋_GB2312"/>
          <w:sz w:val="28"/>
          <w:szCs w:val="28"/>
        </w:rPr>
        <w:t>精炼过去一年的主要工作情况。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2）条目要求。条目的数量由本部门工作内容确定，既要条块清晰，又不失之琐碎；既要高度概括，又不过于笼统。条目可以工作内容为标题，如【学生资助工作】、【实践教学工作】等；也可以概括2014年相关工作情况自拟标题，标题字数以不超过十五字为宜。条目内容为2014年工作主要情况，既要全面准确，又要突出重点，避免流水账式的平铺直叙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（3）附件要求。附件内容包括学校各方面工作的基本数据、基本报表，各单位可参考《任务分解表》所列项目，也可结合自身工作实际，向学校提供数据列表。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2.“大事记”的编写。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（1）大事的确定。各单位应从学校层面着眼，遵循“大事不漏、小事不收”的原则，精选学校各方面工作中新事、大事、要事。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2）大事记以条目为单位进行撰写，要求一事一条目。条目分为标题和正文两部分。标题包括时间和事件概括，应准确、简明、重点突出地概括条目内容，字数以不超过30字为宜。正文部分为事件详述，以不超过200字为宜。要求使用记叙文体，内容真实、准确、客观、完整，文字简洁、精炼、重点突出，按照时间顺序编排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文字规范。《年鉴》的编写一律使用现代汉语书面语。在称谓方面，除“中国”“青岛理工大学”可用第一人称表述为“我国”“我校”外，其余一律使用第三人称撰稿，即各单位一般直称“某某学院”、“某某处”，而不称“我学院”、“我处”。人物一般直称其姓名，后面不加“同志”、“先生”等称谓，必要时可加职务或职称，职务职称置于姓名之前（国际友人或著名人士除外）。各种名称首次出现时要用全称，如文稿中需要多次使用，可在首次出现全称时加注简称，并在后文中使用简称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文稿中涉及的时间应当准确标注年、月、日，避免使用“今年”、“当前”、“最近”、“近年”等模糊不清的时间代词。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4.格式要求。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1）“工作概述”部分条目标题字体为五号楷体_GB2312加粗，加【】，不换行、不空格直接接入正文；正文字体为五号宋体，行间距18磅。“大事记”部分条目标题为五号楷体_GB2312加粗，换行首行缩进两字符接入正文。正文字体为五号宋体，行间距18磅。文中英文字体统一为Times New Roman，字号与所在段落字号相同。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（2）提供表格及名单文字要求。</w:t>
      </w:r>
    </w:p>
    <w:p>
      <w:pPr>
        <w:ind w:firstLine="555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表格及名单标题为五号黑体，附件正文及表格文字均采用五号仿宋_GB2312。人员名单中两个姓名之间空3个英文字符，姓名为两个汉字的中间空2个英文字符。</w:t>
      </w:r>
    </w:p>
    <w:p>
      <w:pPr>
        <w:ind w:firstLine="555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（3）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审稿人、撰稿人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28"/>
          <w:szCs w:val="28"/>
        </w:rPr>
        <w:t>署名位于文末，占一行,五号楷体_GB2312,加（），右对齐。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工作概况格式示例：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研究生教育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楷体_GB2312" w:hAnsi="宋体" w:eastAsia="楷体_GB2312"/>
          <w:szCs w:val="21"/>
        </w:rPr>
        <w:t>【</w:t>
      </w:r>
      <w:r>
        <w:rPr>
          <w:rFonts w:hint="eastAsia" w:ascii="楷体_GB2312" w:hAnsi="宋体" w:eastAsia="楷体_GB2312"/>
          <w:b/>
          <w:szCs w:val="21"/>
        </w:rPr>
        <w:t>概况】</w:t>
      </w:r>
      <w:r>
        <w:rPr>
          <w:rFonts w:hint="eastAsia" w:ascii="宋体" w:hAnsi="宋体"/>
          <w:szCs w:val="21"/>
        </w:rPr>
        <w:t>2014年研究生处共有员工**人，其中处长1人，副处长**人，下设研究生招生办公室、研究生培养科、研究生管理科、学委办公室、综合科……等*个科室，截止2014年底，学校共有**个博士学位授权一级学科，**个博士学位授权二级学科，**个硕士学位授权一级学科，**个硕士学位授权二级学科，**个工程硕士招生领域。全日制在校博士生**人，非全日制博士生**人，全日制硕士在校生**人，非全日制硕士生**人。……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【招生工作】</w:t>
      </w:r>
      <w:r>
        <w:rPr>
          <w:rFonts w:hint="eastAsia" w:ascii="宋体" w:hAnsi="宋体"/>
          <w:szCs w:val="21"/>
        </w:rPr>
        <w:t>我校2014年研究生招生规模为**人，博士**人，硕士**人。我校作为研究生招生单位，顺利完成2014年试题命制、评阅统分、调剂复试、调档录取等工作。2014年共有590余人参加研究生复试，实际录取硕士研究生519人，其中学术学位260人，专业学位259人，较2013年增长9.3%，圆满完成今年的招生任务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【培养工作】</w:t>
      </w:r>
      <w:r>
        <w:rPr>
          <w:rFonts w:hint="eastAsia" w:ascii="宋体" w:hAnsi="宋体"/>
          <w:szCs w:val="21"/>
        </w:rPr>
        <w:t>完善了研究生培养的相关制度、培养方案及课程教学大纲。……</w:t>
      </w:r>
    </w:p>
    <w:p>
      <w:pPr>
        <w:spacing w:before="100" w:beforeAutospacing="1" w:line="360" w:lineRule="exact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2014年省级研究生教育创新计划项目立项一览表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559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项目负责人</w:t>
            </w:r>
          </w:p>
        </w:tc>
        <w:tc>
          <w:tcPr>
            <w:tcW w:w="1610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基于视频资源的开放式互动教学探讨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****</w:t>
            </w:r>
          </w:p>
        </w:tc>
        <w:tc>
          <w:tcPr>
            <w:tcW w:w="1610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食品科学学院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基于研究生实践创新能力培养的校企合作机制研究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610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559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610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</w:tbl>
    <w:p>
      <w:pPr>
        <w:spacing w:before="100" w:beforeAutospacing="1" w:line="360" w:lineRule="exact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2014年校级研究生教育创新计划项目立项一览表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559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项目负责人</w:t>
            </w:r>
          </w:p>
        </w:tc>
        <w:tc>
          <w:tcPr>
            <w:tcW w:w="1610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全日制专业学位硕士研究生创业教育探讨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610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新时期硕士研究生创新能力培养研究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610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559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610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</w:tbl>
    <w:p>
      <w:pPr>
        <w:spacing w:before="100" w:beforeAutospacing="1" w:line="360" w:lineRule="exact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2014年研究生精品课程建设立项名单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4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课程名称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项目负责人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特种加工技术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系统建模与仿真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汽车与交通学院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51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</w:tbl>
    <w:p>
      <w:pPr>
        <w:spacing w:before="100" w:beforeAutospacing="1" w:line="360" w:lineRule="exact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2014年研究生教材建设立项名单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4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教材名称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项目负责人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智能交通系统及应用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汽车与交通学院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催化过程分析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***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51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【研究生管理工作】</w:t>
      </w:r>
      <w:r>
        <w:rPr>
          <w:rFonts w:hint="eastAsia" w:ascii="宋体" w:hAnsi="宋体"/>
          <w:szCs w:val="21"/>
        </w:rPr>
        <w:t>截止2014年8月31日，我校在校研究生共***人，其中博士**人，硕士**人。本年度，完成研究生国家奖学金等的评选和发放……</w:t>
      </w:r>
    </w:p>
    <w:p>
      <w:pPr>
        <w:spacing w:line="360" w:lineRule="exact"/>
        <w:jc w:val="righ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</w:t>
      </w:r>
      <w:r>
        <w:rPr>
          <w:rFonts w:hint="eastAsia" w:ascii="楷体_GB2312" w:hAnsi="宋体" w:eastAsia="楷体_GB2312"/>
          <w:szCs w:val="21"/>
          <w:lang w:eastAsia="zh-CN"/>
        </w:rPr>
        <w:t>审稿人：</w:t>
      </w:r>
      <w:r>
        <w:rPr>
          <w:rFonts w:hint="eastAsia" w:ascii="楷体_GB2312" w:hAnsi="宋体" w:eastAsia="楷体_GB2312"/>
          <w:szCs w:val="21"/>
        </w:rPr>
        <w:t>***</w:t>
      </w:r>
      <w:r>
        <w:rPr>
          <w:rFonts w:hint="eastAsia" w:ascii="楷体_GB2312" w:hAnsi="宋体" w:eastAsia="楷体_GB2312"/>
          <w:szCs w:val="21"/>
          <w:lang w:eastAsia="zh-CN"/>
        </w:rPr>
        <w:t>；撰</w:t>
      </w:r>
      <w:r>
        <w:rPr>
          <w:rFonts w:hint="eastAsia" w:ascii="楷体_GB2312" w:hAnsi="宋体" w:eastAsia="楷体_GB2312"/>
          <w:szCs w:val="21"/>
        </w:rPr>
        <w:t>稿人</w:t>
      </w:r>
      <w:r>
        <w:rPr>
          <w:rFonts w:hint="eastAsia" w:ascii="楷体_GB2312" w:hAnsi="宋体" w:eastAsia="楷体_GB2312"/>
          <w:szCs w:val="21"/>
          <w:lang w:eastAsia="zh-CN"/>
        </w:rPr>
        <w:t>：</w:t>
      </w:r>
      <w:r>
        <w:rPr>
          <w:rFonts w:hint="eastAsia" w:ascii="楷体_GB2312" w:hAnsi="宋体" w:eastAsia="楷体_GB2312"/>
          <w:szCs w:val="21"/>
        </w:rPr>
        <w:t>***）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大事记示例：</w:t>
      </w:r>
    </w:p>
    <w:p>
      <w:pPr>
        <w:spacing w:line="360" w:lineRule="exact"/>
        <w:ind w:firstLine="422" w:firstLineChars="20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10月17日    我校两专业入选教育部“卓越工程师教育培养计划”。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根据教育部办公厅《关于公布卓越工程师教育培养计划第三批学科专业名单的通知》（教高厅函【2013】38号），我校的“计算机科学与技术”、“材料科学与工程”两个本科专业入选教育部“卓越工程师教育培养计划第三批试点专业”。</w:t>
      </w:r>
    </w:p>
    <w:p>
      <w:pPr>
        <w:spacing w:line="360" w:lineRule="exact"/>
        <w:jc w:val="righ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</w:t>
      </w:r>
      <w:r>
        <w:rPr>
          <w:rFonts w:hint="eastAsia" w:ascii="楷体_GB2312" w:hAnsi="宋体" w:eastAsia="楷体_GB2312"/>
          <w:szCs w:val="21"/>
          <w:lang w:eastAsia="zh-CN"/>
        </w:rPr>
        <w:t>审稿人：</w:t>
      </w:r>
      <w:r>
        <w:rPr>
          <w:rFonts w:hint="eastAsia" w:ascii="楷体_GB2312" w:hAnsi="宋体" w:eastAsia="楷体_GB2312"/>
          <w:szCs w:val="21"/>
        </w:rPr>
        <w:t>***</w:t>
      </w:r>
      <w:r>
        <w:rPr>
          <w:rFonts w:hint="eastAsia" w:ascii="楷体_GB2312" w:hAnsi="宋体" w:eastAsia="楷体_GB2312"/>
          <w:szCs w:val="21"/>
          <w:lang w:eastAsia="zh-CN"/>
        </w:rPr>
        <w:t>；撰</w:t>
      </w:r>
      <w:r>
        <w:rPr>
          <w:rFonts w:hint="eastAsia" w:ascii="楷体_GB2312" w:hAnsi="宋体" w:eastAsia="楷体_GB2312"/>
          <w:szCs w:val="21"/>
        </w:rPr>
        <w:t>稿人</w:t>
      </w:r>
      <w:r>
        <w:rPr>
          <w:rFonts w:hint="eastAsia" w:ascii="楷体_GB2312" w:hAnsi="宋体" w:eastAsia="楷体_GB2312"/>
          <w:szCs w:val="21"/>
          <w:lang w:eastAsia="zh-CN"/>
        </w:rPr>
        <w:t>：</w:t>
      </w:r>
      <w:r>
        <w:rPr>
          <w:rFonts w:hint="eastAsia" w:ascii="楷体_GB2312" w:hAnsi="宋体" w:eastAsia="楷体_GB2312"/>
          <w:szCs w:val="21"/>
        </w:rPr>
        <w:t>***）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2743"/>
    <w:rsid w:val="00007596"/>
    <w:rsid w:val="001D0808"/>
    <w:rsid w:val="002C5489"/>
    <w:rsid w:val="003C3452"/>
    <w:rsid w:val="005B598E"/>
    <w:rsid w:val="005E1E94"/>
    <w:rsid w:val="00767E17"/>
    <w:rsid w:val="00812743"/>
    <w:rsid w:val="00A34F91"/>
    <w:rsid w:val="00A66CB3"/>
    <w:rsid w:val="00B9276E"/>
    <w:rsid w:val="00DA7ED6"/>
    <w:rsid w:val="00DB4D69"/>
    <w:rsid w:val="00DB4EF7"/>
    <w:rsid w:val="30010347"/>
    <w:rsid w:val="43245B2C"/>
    <w:rsid w:val="775D716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367</Words>
  <Characters>2094</Characters>
  <Lines>17</Lines>
  <Paragraphs>4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2015-03-17T08:43:00Z</dcterms:created>
  <dc:creator>Lenovo User</dc:creator>
  <cp:lastModifiedBy>Administrator</cp:lastModifiedBy>
  <cp:lastPrinted>2015-03-19T00:50:00Z</cp:lastPrinted>
  <dcterms:modified xsi:type="dcterms:W3CDTF">2015-03-20T03:33:15Z</dcterms:modified>
  <dc:title>《青岛理工大学年鉴2014》编写规范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